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36"/>
          <w:szCs w:val="24"/>
        </w:rPr>
      </w:pPr>
      <w:r>
        <w:rPr>
          <w:rFonts w:cs="Times New Roman" w:ascii="Times New Roman" w:hAnsi="Times New Roman"/>
          <w:b/>
          <w:sz w:val="36"/>
          <w:szCs w:val="24"/>
        </w:rPr>
        <w:t>14</w:t>
      </w:r>
      <w:r>
        <w:rPr>
          <w:rFonts w:cs="Times New Roman" w:ascii="Times New Roman" w:hAnsi="Times New Roman"/>
          <w:b/>
          <w:sz w:val="36"/>
          <w:szCs w:val="24"/>
          <w:vertAlign w:val="superscript"/>
        </w:rPr>
        <w:t>TH</w:t>
      </w:r>
      <w:r>
        <w:rPr>
          <w:rFonts w:cs="Times New Roman" w:ascii="Times New Roman" w:hAnsi="Times New Roman"/>
          <w:b/>
          <w:sz w:val="36"/>
          <w:szCs w:val="24"/>
        </w:rPr>
        <w:t xml:space="preserve"> Century Music from France</w:t>
      </w:r>
    </w:p>
    <w:p>
      <w:pPr>
        <w:pStyle w:val="Normal"/>
        <w:spacing w:lineRule="auto" w:line="480"/>
        <w:jc w:val="center"/>
        <w:rPr>
          <w:rFonts w:ascii="Times New Roman" w:hAnsi="Times New Roman" w:cs="Times New Roman"/>
          <w:b/>
          <w:b/>
          <w:sz w:val="36"/>
          <w:szCs w:val="24"/>
        </w:rPr>
      </w:pPr>
      <w:r>
        <w:rPr>
          <w:rFonts w:cs="Times New Roman" w:ascii="Times New Roman" w:hAnsi="Times New Roman"/>
          <w:b/>
          <w:sz w:val="36"/>
          <w:szCs w:val="24"/>
        </w:rPr>
        <w:t>Name</w:t>
      </w:r>
    </w:p>
    <w:p>
      <w:pPr>
        <w:pStyle w:val="Normal"/>
        <w:spacing w:lineRule="auto" w:line="480"/>
        <w:jc w:val="center"/>
        <w:rPr>
          <w:rFonts w:ascii="Times New Roman" w:hAnsi="Times New Roman" w:cs="Times New Roman"/>
          <w:b/>
          <w:b/>
          <w:sz w:val="36"/>
          <w:szCs w:val="24"/>
        </w:rPr>
      </w:pPr>
      <w:r>
        <w:rPr>
          <w:rFonts w:cs="Times New Roman" w:ascii="Times New Roman" w:hAnsi="Times New Roman"/>
          <w:b/>
          <w:sz w:val="36"/>
          <w:szCs w:val="24"/>
        </w:rPr>
        <w:t>Institution</w:t>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Introduction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The research paper is a description of the style of a composer based on the expert source and individual analysis. The music stylistic features by Guillaume de Machaut lived after 1100 in the MUS355 composer. Western music traditions may be traced back to the religious and social developments, which took place in the Europe in the middle ages. Due to the early Catholic Church domination during the period, only sacred music was prevalent. The sacred music gradually developed into the polyphonic music that was performed in Paris at Notre Dame by the 20th century. The secular music also flourished in the hands of French troubadours and trouveres, until the time the secular and sacred compositions culminated into the first western music true genius Guillaume de Machaut. The earliest Christian church got their music from the present Byzantine and Jewish religious Gregorian chant. Chant remains amongst the most spiritual profound and moving music in the western culture. The concept of its pure and floating melody may be heard from the Eastern hymn. Music can be considered as part of the civilizations in the world for many decades before the Middle Ages era. The primitive drawings in the cave, bible stories, and the Egyptian hieroglyphs they all confirm the fact that persons had made instruments which they used to make music for many centuries long. </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In the 19th century, the theorists of music in the church started experimenting with the concept of singing o two melodic lines at once in parallel intervals mostly in the octave, fourth or fifth. The results of hollowing-sounding music known as organum and slowly developed for more than a hundred years to come (Harold, 2017). Today Machaut is regarded as the prominent composer and poet of the fourteen century, bridging the styles of music of the ars nova and ars antique and influencing arranged poets such as Geoffrey Chaucer. Machaut benefits in the current scholarship as one among the few medieval music composers for who the biological data is available. Furthermore, all through his entire life, he foresaw many compilations of his whole oeuvre the practice that was uncommon before the fifteenth century. The compilations have stayed for years and provided modern scholars a complete understanding of his works and styles, both poetic and musical. Machaut’s affinity compiling of his works was peculiar during his time. For him having compiled his works on several occasions for his entire life proposes that Machaut’s music was high in demand and required circulation and he was self-confident for the importance of his work. The book Manuscript-C gives the prototype of all the successive Machaut scripts in his late life. </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Cantus firmus phrase is the Latin word for a fixed song or melody. In the plural, it is known as cantus firmi. It is mostly linked with Renaissance and medieval music and implies the pre-existing song used as the new composition form.  Besides, it is associated with counterpoint teaching. The cantus firmi’s origin is the plainchant (McMahon, 2014). Renaissance composers would take the cantus firmus when writing the complementary melodies. It is based on the one voice point idea against the other voice part, which produces counterpoint.</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Composers seem to apply voice as the guideline since it is seen as the basic universal and natural instrument. Counterpoint may be recalled as the voice leading where more lines of independent melodic interact. When more voices are singing simultaneously, it is known as the polyphonic texture. Composers did not begin writing the polyphonic melody until 1100 CE where before that period; composers were concerned with writing the single lines mainly for voice. Cantus firmus is seen as the integral teaching part of counterpoint (Sparks, 2015). It may be seen as the first stage the student takes in understanding the free composition.</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All the rules are aimed at ensuring two things: first is that cantus firmus is sung ably while the second is that one’s cantus firmus meets the basic standard of the musicality. The musical is the historical and cultural idea. Besides, what is musical to the jazzer could not be regarded musical to the strictly classical musician and vice versa (Sparks, 2015). What is music in China may not be regarded as music in India? In the US, they mainly subscribe to the Western European musical principles. The reason behind this is to assist one overcomes the instinct in dismissing guidelines and rules since they do not conform to his concept of what music is. It is not that one’s music idea is not valid, it is just that music is only one of the infinite number of likelihood music.</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Learning to recognize and compose good cantus firmus is important because their features are present in the entire good melody lines. They start with the fundamental rules. One has to keep in the mind that the aim is writing melodies, which are correct concerning the set rules, and not writing the best melodies that never exist (Talty, 2017). For instance, whereas important elements cannot be as pleasing as the Violin Concerto of Sibelius it is a critical first step to learn to become a great musician. Maintain one’s melodies simple. A good cantus firmus range within the perfect fifth and is singing in the single breath. It does not have radical melodious gestures. It is beautiful and managed without oblige. It has a distinct but not disturbing contour. It has the single zenith maximum and a smooth, gentle motion to a cadence. </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Annotated bibliography</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BOWERS, R. (2014). GUILLAUME DE MACHAUT AND HIS CANONRY OF REIMS, 1338–1377. Early Music History, 23, 1-48.</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author describes that even though the modern days Mass is possibly his best-recognized work, Machaut composed many secular songs of love in style off new art that is polyphonic. The songs epitomize a courtly love discovered within the previous vocal art of century and capture the entire joy, pain, hope, and heartbreak of courtly love. The Middle Ages secular motets evolved into a strong outpouring of the lovesick lyrics embodied in the great Renaissance music (BOWERS, 2014). Gant is considered as the Western music composer in history who appeared to be mindful of his artistic accomplishments and his place in the history. In ensuring that Gant realized his job was painstakingly imitated and artfully demonstrated</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Cayley, E. (2013). 6. Machaut and Debate Poetry. A Companion to Guillaume de Machaut, 103-118.</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The author has described Machaut as both poet and musician. He emerged in the 14th century. There are many poems manuscripts and 145 works of music. Machaut poems have been explained to be fascination the way they shed light on the life of Machaut and times, they recorded events like Rheims siege in the early section of the war of hundred years, and the Black Death experienced in the Europe in 1348-1350. Gant’s poet also reveals the falconry love, riding and beauties of the countryside of French. He is a conservative who established on the existing traditions like the isorhythmic motet and the monophonic trouvere songs (Cayley, 2013). He was a composer of his kind whose music covered a range wider than it is being proposed by his famous work Notre Dame Mass. The fame of Machaut’s work tends to obscure his secular works; the songs are Gant’s characteristic pieces. The lyrical spirit with the new emphasis on melodies in the cantus line or top they contained substantial subtleties for their verbal refrains and musical manipulation. Among the most popular of formes fixes of that time was the virelai the principal character of which music and words have refrains that do not coincide with one another. Gant’s virelais were monophonic indicating the continuing manipulation of the trouveres.  </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Cerquiglini-Toulet, J. (2017). 4. “Ma finest mon commencement”: The Essence of Poetry and Song in Guillaume de Machaut. A Companion to Guillaume de Machaut, 67-78.</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writer explains that in Machaut’s longer poems he did not move beyond the genres and themes that were already used in his period. Mainly allegorical and didactic exercises in a well-designed courtly romance tradition, they were of slight interest for the current readers. The exception amongst the longer poems works is the Voir-Dit that relates how the young girl of a high caliber falling in love with the poet due to Machaut’s creative achievements and fame. Lyrics poems of Machaut are also founded on the courtly romance theme, however, reworked into the deft form through the verbal music which is perfectly achieved. Machaut’s influence mostly his technical innovation goes beyond the French borders. For example in England Geoffrey Chaucer borrowed much from poetry elements of Machaut (Cerquiglini-Toulet, 2017). Also, all of the music of Machaut are preserved in 34 manuscripts accounting for the larger section of the surviving music in the era of Machaut. It because Machaut was the first composer who writes single –handed the polyphonic setting in the Mass ordinary, the work that has been documented in the modern performance. In most of the four-part sets, he applies the feature Ars Nova technique of isorhythm- repeating overlapping of the rhythmic pattern in alternating melodic forms.</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 xml:space="preserve">Robert, R. (2013). Guillaume de Machaut. Early Music, XVIII(3), 489-491. </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According to the Robert, the secular compositions composed of a larger section of Machaut’s music. The three-and four-part motets that are polyphonic songs where each voice constituent a distinct text. Love was the main subject of the texts and all; however, only three apply isorhythm. The 19 lais of Machaut are for unaccompanied voice even though the two are for the three parts and one for the two parts. Also, they apply a great musical material’s variety from popular dance and song of Machaut’s 33 virelais, twenty-five consist of the melody and they together with his lais bulk represent the last of the unaccompanied dances and songs composed within the trouveres tradition. The remaining virelais of Machaut have one or two extra parts for the instrumental accompaniment, and they are typical of accompanied solo songs, which became popular during the fourteenth century (Robert, 2013). The polyphonic songs that Machaut wrote together with his motets constitute 21 rondex with 41 of his 43 ballades. The author also asserts that the wide spread of Gnat’s music in the contemporary manuscripts depicts that he was esteemed in France, Spain, Italy and the entire Europe.</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Earp, L. (2015). 11. Declamation as Expression in Machaut’s Music. A Companion to Guillaume de Machaut, 209-238.</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author describes the characteristic of Machaut’s style of composing such as the virelai that is among one of the many formes fixes in the lyric song and poetry in French of the Fourteenth and fifteenth centuries. It possibly did not emanate from France, and it took on many different forms in the tradition of French. Same forms may be found in the literature of early Renaissance in the Europe and of Medieval: in cantiga, the muwashshah of the Arabic, the frottola, and lauda of Italian and villancico of the Spanish and the carol of English and the zajal of Arabic and hallata of the Italian. The standard form of virelai has three stanzas each being preceded and followed by the refrain (Earp, 2015). In each stanza, there are three parts, the first two with similar rhyme scheme and the last one with a rhyme scheme of the refrain. In the music settings, the 3rd part of each stanza thus takes a similar music as refrain whereas first two parts have distinct music. The history of music of virelai in the France consists of three different levels. First, emerge the single-part (monophonic) settings in simple rhythmic and syllabic melodies. Machaut is the famous known composer for writing polyphonic songs, and he wrote many of his virelais in the monophonic style. The next level is the second half of the fourteenth century where polyphonic settings were largely applied. Their tremendous length was accepted by the lighthearted virelai texts nature. Solage, Jan Vaillant, and Jacob de Senleches involved imitations of the sounds of nature and birdcalls in their virelai and in judging from the surviving resources number, the songs attained exceptional popularity. The virelai lost favor in the first half of the fifteenth century came back in the curtailed form with only one stanza thus providing a form for part of the attractive songs in the late fifteenth century.</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Hoppin, R. H., &amp; De MacHaut, G. (2012). The Works of Guillaume de Machaut. Notes, 15(3), 472.</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writer explains about the trouvere that is spelled as trouveur, any poets school which excelled in the northern France during the eleventh and fourteenth century. Trouvere was the main counterpart in northern France language to the troubadour in which the trouveres gain its high-stylized themes and the metrical forms. The presence of trouvere in the expression lies in the joining of the traditional themes and the application of created forms where to express them. The audience achieved pleasure from the familiarity with the clichés other than from the originality of the poet (Hoppin &amp; De MacHaut, 2012). It is, therefore, perhaps the least feature trouveres like Rutebeuf considered the greatest and last of trouveres who are most acknowledged today.</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communication between southern and northern France was encouraged and facilitated through the number of trouveres and crusades like Chatelaine de Coucy who participated in them. However, trouvere established the lyric poetry different from that of troubadours and they did not price metaphor obscurity for its sake. In some instances their poetry appears satirical and concerned with the good life pleasures, nevertheless, the primary theme remains that of the courtly love where the poet illustrates his unrequited passion in the inaccessible lady. The lyrics are intended to be sung mostly by a poet alone or with the accompaniment of instrument provided via the hired musician. Originally they were related to feudal courts, around that the trouveres traveled searching for patronage.</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McGrady, D. (2014). 18. Machaut and His Material Legacy. A Companion to Guillaume de Machaut, 361-385.</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author describes that the trouveres songs were monophonic that consisted of a sole of the melodic line. The trouveres exact form of performance is not yet understood. The type of instrumental accompaniment is also unknown, however; it is true that they involved postludes, preludes, and interludes. They are assumed to apply a range of musical forms part for some many of the different poetic classification and others connected to the kind of the verse (McGrady, 2014). There were four categories include dance sons having a refrain, musical forms basing on the multiple short phrase repetitions as in the petition, songs based on the pairs of repeated lines as well as via composed songs that are without the use of repetition. The compositions without repetition in the stanza involve the chanson and vers.</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Conclusion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Understanding, acknowledging and learning to manage dissonance is the essential part of studying counterpoint. Nevertheless, there is a difference between the melodic dissonance and harmonic dissonances. For instance, the harmonic interval in the second is dissonant while the melodic interval in the second is consonant. In the song of Machaut “In my end is my beginning,” he offers variation and variety via simply reversing the creative music. The Triplum line is only the cantus line that is sung backward, and the palindrome is Tenor line. Understanding this, a person discovers that whereas each verse in the piece may be somewhat long, the content of music is minimal. A person would notate the music completely, actually writing out retrogrades in each voice. However, this may be unnecessary. All that a person needs to realize that the music is what constitutes Machaut has offered or what one offered in his transcription linked video.</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both"/>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48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References</w:t>
      </w:r>
    </w:p>
    <w:p>
      <w:pPr>
        <w:pStyle w:val="NormalWeb"/>
        <w:spacing w:lineRule="atLeast" w:line="550" w:beforeAutospacing="0" w:before="0" w:afterAutospacing="0" w:after="0"/>
        <w:ind w:left="720" w:hanging="720"/>
        <w:rPr/>
      </w:pPr>
      <w:r>
        <w:rPr/>
        <w:t xml:space="preserve">BOWERS, R. (2014). GUILLAUME DE MACHAUT AND HIS CANONRY OF REIMS, 1338–1377. </w:t>
      </w:r>
      <w:r>
        <w:rPr>
          <w:rStyle w:val="Emphasis"/>
        </w:rPr>
        <w:t>Early Music History</w:t>
      </w:r>
      <w:r>
        <w:rPr/>
        <w:t xml:space="preserve">, </w:t>
      </w:r>
      <w:r>
        <w:rPr>
          <w:rStyle w:val="Emphasis"/>
        </w:rPr>
        <w:t>23</w:t>
      </w:r>
      <w:r>
        <w:rPr/>
        <w:t>, 1-48. doi:10.1017/s0261127904000038</w:t>
      </w:r>
    </w:p>
    <w:p>
      <w:pPr>
        <w:pStyle w:val="NormalWeb"/>
        <w:spacing w:lineRule="atLeast" w:line="550" w:beforeAutospacing="0" w:before="0" w:afterAutospacing="0" w:after="0"/>
        <w:ind w:left="720" w:hanging="720"/>
        <w:rPr/>
      </w:pPr>
      <w:r>
        <w:rPr/>
        <w:t xml:space="preserve">Cayley, E. (2013). 6. Machaut and Debate Poetry. </w:t>
      </w:r>
      <w:r>
        <w:rPr>
          <w:rStyle w:val="Emphasis"/>
        </w:rPr>
        <w:t>A Companion to Guillaume de Machaut</w:t>
      </w:r>
      <w:r>
        <w:rPr/>
        <w:t>, 103-118. doi:10.1163/9789004228191_008</w:t>
      </w:r>
    </w:p>
    <w:p>
      <w:pPr>
        <w:pStyle w:val="NormalWeb"/>
        <w:spacing w:lineRule="atLeast" w:line="550" w:beforeAutospacing="0" w:before="0" w:afterAutospacing="0" w:after="0"/>
        <w:ind w:left="720" w:hanging="720"/>
        <w:rPr/>
      </w:pPr>
      <w:r>
        <w:rPr/>
        <w:t xml:space="preserve">Cerquiglini-Toulet, J. (2017). 4. “Ma fin est mon commencement”: The Essence of Poetry and Song in Guillaume de Machaut. </w:t>
      </w:r>
      <w:r>
        <w:rPr>
          <w:rStyle w:val="Emphasis"/>
        </w:rPr>
        <w:t>A Companion to Guillaume de Machaut</w:t>
      </w:r>
      <w:r>
        <w:rPr/>
        <w:t>, 67-78. doi:10.1163/9789004228191_006</w:t>
      </w:r>
    </w:p>
    <w:p>
      <w:pPr>
        <w:pStyle w:val="NormalWeb"/>
        <w:spacing w:lineRule="atLeast" w:line="550" w:beforeAutospacing="0" w:before="0" w:afterAutospacing="0" w:after="0"/>
        <w:ind w:left="720" w:hanging="720"/>
        <w:rPr/>
      </w:pPr>
      <w:r>
        <w:rPr/>
        <w:t xml:space="preserve">Earp, L. (2015). 11. Declamation as Expression in Machaut’s Music. </w:t>
      </w:r>
      <w:r>
        <w:rPr>
          <w:rStyle w:val="Emphasis"/>
        </w:rPr>
        <w:t>A Companion to Guillaume de Machaut</w:t>
      </w:r>
      <w:r>
        <w:rPr/>
        <w:t>, 209-238. doi:10.1163/9789004228191_013</w:t>
      </w:r>
    </w:p>
    <w:p>
      <w:pPr>
        <w:pStyle w:val="NormalWeb"/>
        <w:spacing w:lineRule="auto" w:line="480" w:beforeAutospacing="0" w:before="0" w:afterAutospacing="0" w:after="0"/>
        <w:ind w:left="720" w:hanging="720"/>
        <w:jc w:val="both"/>
        <w:rPr/>
      </w:pPr>
      <w:r>
        <w:rPr/>
        <w:t xml:space="preserve">Harold, M. (2017). Harshness, Consonance and Dissonance. </w:t>
      </w:r>
      <w:r>
        <w:rPr>
          <w:rStyle w:val="Emphasis"/>
        </w:rPr>
        <w:t>Musical Techniques</w:t>
      </w:r>
      <w:r>
        <w:rPr/>
        <w:t>, 85-91. doi:10.1002/9781119388548.ch5</w:t>
      </w:r>
    </w:p>
    <w:p>
      <w:pPr>
        <w:pStyle w:val="NormalWeb"/>
        <w:spacing w:lineRule="atLeast" w:line="550" w:beforeAutospacing="0" w:before="0" w:afterAutospacing="0" w:after="0"/>
        <w:ind w:left="720" w:hanging="720"/>
        <w:rPr/>
      </w:pPr>
      <w:r>
        <w:rPr/>
        <w:t xml:space="preserve">Hoppin, R. H., &amp; De MacHaut, G. (2012). The Works of Guillaume de Machaut. </w:t>
      </w:r>
      <w:r>
        <w:rPr>
          <w:rStyle w:val="Emphasis"/>
        </w:rPr>
        <w:t>Notes</w:t>
      </w:r>
      <w:r>
        <w:rPr/>
        <w:t xml:space="preserve">, </w:t>
      </w:r>
      <w:r>
        <w:rPr>
          <w:rStyle w:val="Emphasis"/>
        </w:rPr>
        <w:t>15</w:t>
      </w:r>
      <w:r>
        <w:rPr/>
        <w:t>(3), 472. doi:10.2307/892549</w:t>
      </w:r>
    </w:p>
    <w:p>
      <w:pPr>
        <w:pStyle w:val="NormalWeb"/>
        <w:spacing w:lineRule="atLeast" w:line="550" w:beforeAutospacing="0" w:before="0" w:afterAutospacing="0" w:after="0"/>
        <w:ind w:left="720" w:hanging="720"/>
        <w:rPr/>
      </w:pPr>
      <w:r>
        <w:rPr/>
        <w:t xml:space="preserve">McGrady, D. (2014). 18. Machaut and His Material Legacy. </w:t>
      </w:r>
      <w:r>
        <w:rPr>
          <w:rStyle w:val="Emphasis"/>
        </w:rPr>
        <w:t>A Companion to Guillaume de Machaut</w:t>
      </w:r>
      <w:r>
        <w:rPr/>
        <w:t>, 361-385. doi:10.1163/9789004228191_020</w:t>
      </w:r>
    </w:p>
    <w:p>
      <w:pPr>
        <w:pStyle w:val="NormalWeb"/>
        <w:spacing w:lineRule="auto" w:line="480" w:beforeAutospacing="0" w:before="0" w:afterAutospacing="0" w:after="0"/>
        <w:ind w:left="720" w:hanging="720"/>
        <w:jc w:val="both"/>
        <w:rPr/>
      </w:pPr>
      <w:r>
        <w:rPr/>
        <w:t xml:space="preserve">McMahon, F. (2014). Bologna: Consonance or Dissonance? </w:t>
      </w:r>
      <w:r>
        <w:rPr>
          <w:rStyle w:val="Emphasis"/>
        </w:rPr>
        <w:t>Higher Education in Ireland</w:t>
      </w:r>
      <w:r>
        <w:rPr/>
        <w:t>, 172-185. doi:10.1057/9781137289889_11</w:t>
      </w:r>
    </w:p>
    <w:p>
      <w:pPr>
        <w:pStyle w:val="NormalWeb"/>
        <w:spacing w:lineRule="atLeast" w:line="550" w:beforeAutospacing="0" w:before="0" w:afterAutospacing="0" w:after="0"/>
        <w:ind w:left="720" w:hanging="720"/>
        <w:rPr/>
      </w:pPr>
      <w:r>
        <w:rPr/>
        <w:t xml:space="preserve">Robert, R. (2013). Guillaume de Machaut. </w:t>
      </w:r>
      <w:r>
        <w:rPr>
          <w:rStyle w:val="Emphasis"/>
        </w:rPr>
        <w:t>Early Music</w:t>
      </w:r>
      <w:r>
        <w:rPr/>
        <w:t xml:space="preserve">, </w:t>
      </w:r>
      <w:r>
        <w:rPr>
          <w:rStyle w:val="Emphasis"/>
        </w:rPr>
        <w:t>XVIII</w:t>
      </w:r>
      <w:r>
        <w:rPr/>
        <w:t>(3), 489-491. doi:10.1093/early/xviii.3.489</w:t>
      </w:r>
    </w:p>
    <w:p>
      <w:pPr>
        <w:pStyle w:val="NormalWeb"/>
        <w:spacing w:lineRule="auto" w:line="480" w:beforeAutospacing="0" w:before="0" w:afterAutospacing="0" w:after="0"/>
        <w:ind w:left="720" w:hanging="720"/>
        <w:jc w:val="both"/>
        <w:rPr/>
      </w:pPr>
      <w:r>
        <w:rPr/>
        <w:t xml:space="preserve">Sparks, E. H. (2015). Cantus Firmus. </w:t>
      </w:r>
      <w:r>
        <w:rPr>
          <w:rStyle w:val="Emphasis"/>
        </w:rPr>
        <w:t>The Musical Times</w:t>
      </w:r>
      <w:r>
        <w:rPr/>
        <w:t xml:space="preserve">, </w:t>
      </w:r>
      <w:r>
        <w:rPr>
          <w:rStyle w:val="Emphasis"/>
        </w:rPr>
        <w:t>106</w:t>
      </w:r>
      <w:r>
        <w:rPr/>
        <w:t>(1466), 274. doi:10.2307/949801</w:t>
      </w:r>
    </w:p>
    <w:p>
      <w:pPr>
        <w:pStyle w:val="NormalWeb"/>
        <w:spacing w:lineRule="auto" w:line="480" w:beforeAutospacing="0" w:before="0" w:afterAutospacing="0" w:after="0"/>
        <w:ind w:left="720" w:hanging="720"/>
        <w:jc w:val="both"/>
        <w:rPr/>
      </w:pPr>
      <w:r>
        <w:rPr/>
        <w:t xml:space="preserve">Talty, J. (2017). Noncanonical Pedagogies for Noncanonical Musics. </w:t>
      </w:r>
      <w:r>
        <w:rPr>
          <w:rStyle w:val="Emphasis"/>
        </w:rPr>
        <w:t>Oxford Scholarship Online</w:t>
      </w:r>
      <w:r>
        <w:rPr/>
        <w:t>. doi:10.1093/acprof:oso/9780190658397.003.0005</w:t>
      </w:r>
    </w:p>
    <w:p>
      <w:pPr>
        <w:pStyle w:val="Normal"/>
        <w:spacing w:lineRule="auto" w:line="480" w:before="0" w:after="200"/>
        <w:jc w:val="both"/>
        <w:rPr/>
      </w:pPr>
      <w:r>
        <w:rPr/>
      </w:r>
    </w:p>
    <w:sectPr>
      <w:headerReference w:type="default" r:id="rId2"/>
      <w:headerReference w:type="first" r:id="rId3"/>
      <w:type w:val="nextPage"/>
      <w:pgSz w:w="12240" w:h="15840"/>
      <w:pgMar w:left="1440" w:right="1440" w:header="720" w:top="1440" w:footer="0" w:bottom="1440"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480147466"/>
    </w:sdtPr>
    <w:sdtContent>
      <w:p>
        <w:pPr>
          <w:pStyle w:val="Header"/>
          <w:jc w:val="right"/>
          <w:rPr/>
        </w:pPr>
        <w:r>
          <w:rPr/>
          <w:t>14</w:t>
        </w:r>
        <w:r>
          <w:rPr>
            <w:vertAlign w:val="superscript"/>
          </w:rPr>
          <w:t>TH</w:t>
        </w:r>
        <w:r>
          <w:rPr/>
          <w:t xml:space="preserve"> CENTURY MUSIC FROM FRANCE                                                                                                                      </w:t>
        </w:r>
        <w:r>
          <w:rPr/>
          <w:fldChar w:fldCharType="begin"/>
        </w:r>
        <w:r>
          <w:instrText> PAGE </w:instrText>
        </w:r>
        <w:r>
          <w:fldChar w:fldCharType="separate"/>
        </w:r>
        <w:r>
          <w:t>11</w:t>
        </w:r>
        <w:r>
          <w:fldChar w:fldCharType="end"/>
        </w:r>
      </w:p>
    </w:sdtContent>
  </w:sdt>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286154063"/>
    </w:sdtPr>
    <w:sdtContent>
      <w:p>
        <w:pPr>
          <w:pStyle w:val="Header"/>
          <w:jc w:val="right"/>
          <w:rPr/>
        </w:pPr>
        <w:r>
          <w:rPr/>
          <w:t>Running head: 14</w:t>
        </w:r>
        <w:r>
          <w:rPr>
            <w:vertAlign w:val="superscript"/>
          </w:rPr>
          <w:t>TH</w:t>
        </w:r>
        <w:r>
          <w:rPr/>
          <w:t xml:space="preserve"> CENTURY MUSIC FROM FRANCE                                                                                           </w:t>
        </w:r>
        <w:r>
          <w:rPr/>
          <w:fldChar w:fldCharType="begin"/>
        </w:r>
        <w:r>
          <w:instrText> PAGE </w:instrText>
        </w:r>
        <w:r>
          <w:fldChar w:fldCharType="separate"/>
        </w:r>
        <w:r>
          <w:t>1</w:t>
        </w:r>
        <w:r>
          <w:fldChar w:fldCharType="end"/>
        </w:r>
      </w:p>
      <w:p>
        <w:pPr>
          <w:pStyle w:val="Header"/>
          <w:rPr/>
        </w:pPr>
        <w:r>
          <w:rPr/>
        </w:r>
      </w:p>
    </w:sdtContent>
  </w:sdt>
</w:hdr>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d79bd"/>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semiHidden/>
    <w:unhideWhenUsed/>
    <w:qFormat/>
    <w:rPr/>
  </w:style>
  <w:style w:type="character" w:styleId="Emphasis">
    <w:name w:val="Emphasis"/>
    <w:basedOn w:val="DefaultParagraphFont"/>
    <w:uiPriority w:val="20"/>
    <w:qFormat/>
    <w:rsid w:val="00270aa5"/>
    <w:rPr>
      <w:i/>
      <w:iCs/>
    </w:rPr>
  </w:style>
  <w:style w:type="character" w:styleId="HeaderChar" w:customStyle="1">
    <w:name w:val="Header Char"/>
    <w:basedOn w:val="DefaultParagraphFont"/>
    <w:link w:val="Header"/>
    <w:uiPriority w:val="99"/>
    <w:qFormat/>
    <w:rsid w:val="00fb1c4d"/>
    <w:rPr/>
  </w:style>
  <w:style w:type="character" w:styleId="FooterChar" w:customStyle="1">
    <w:name w:val="Footer Char"/>
    <w:basedOn w:val="DefaultParagraphFont"/>
    <w:link w:val="Footer"/>
    <w:uiPriority w:val="99"/>
    <w:semiHidden/>
    <w:qFormat/>
    <w:rsid w:val="00fb1c4d"/>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rmalWeb">
    <w:name w:val="Normal (Web)"/>
    <w:basedOn w:val="Normal"/>
    <w:uiPriority w:val="99"/>
    <w:unhideWhenUsed/>
    <w:qFormat/>
    <w:rsid w:val="00270aa5"/>
    <w:pPr>
      <w:spacing w:lineRule="auto" w:line="240" w:beforeAutospacing="1" w:afterAutospacing="1"/>
    </w:pPr>
    <w:rPr>
      <w:rFonts w:ascii="Times New Roman" w:hAnsi="Times New Roman" w:eastAsia="" w:cs="Times New Roman" w:eastAsiaTheme="minorEastAsia"/>
      <w:sz w:val="24"/>
      <w:szCs w:val="24"/>
    </w:rPr>
  </w:style>
  <w:style w:type="paragraph" w:styleId="Header">
    <w:name w:val="Header"/>
    <w:basedOn w:val="Normal"/>
    <w:link w:val="HeaderChar"/>
    <w:uiPriority w:val="99"/>
    <w:unhideWhenUsed/>
    <w:rsid w:val="00fb1c4d"/>
    <w:pPr>
      <w:tabs>
        <w:tab w:val="center" w:pos="4680" w:leader="none"/>
        <w:tab w:val="right" w:pos="9360" w:leader="none"/>
      </w:tabs>
      <w:spacing w:lineRule="auto" w:line="240" w:before="0" w:after="0"/>
    </w:pPr>
    <w:rPr/>
  </w:style>
  <w:style w:type="paragraph" w:styleId="Footer">
    <w:name w:val="Footer"/>
    <w:basedOn w:val="Normal"/>
    <w:link w:val="FooterChar"/>
    <w:uiPriority w:val="99"/>
    <w:semiHidden/>
    <w:unhideWhenUsed/>
    <w:rsid w:val="00fb1c4d"/>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Application>LibreOffice/5.1.6.2$Linux_X86_64 LibreOffice_project/10m0$Build-2</Application>
  <Pages>12</Pages>
  <Words>2615</Words>
  <CharactersWithSpaces>14910</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2017-12-03T05:31:00Z</dcterms:created>
  <dc:creator>ANNE</dc:creator>
  <dc:description/>
  <dc:language>en-US</dc:language>
  <cp:lastModifiedBy>ANNE</cp:lastModifiedBy>
  <dcterms:modified xsi:type="dcterms:W3CDTF">2017-12-05T23:17:00Z</dcterms:modified>
  <cp:revision>147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